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D076" w14:textId="77777777" w:rsidR="00753D4D" w:rsidRDefault="00000000" w:rsidP="00C35EBB">
      <w:pPr>
        <w:pStyle w:val="5"/>
      </w:pPr>
      <w:r>
        <w:t>Методические материалы по вопросам противодействия коррупции</w:t>
      </w:r>
    </w:p>
    <w:p w14:paraId="3CA2F185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7" w:tooltip="https://mintrud.gov.ru/docs/mintrud/employment/62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Письмо Минтруда России № 18-2/10/В-12085 от 16 декабря 2020 г.</w:t>
        </w:r>
      </w:hyperlink>
    </w:p>
    <w:p w14:paraId="52184D10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8" w:tooltip="https://mintrud.gov.ru/ministry/programms/anticorruption/9/14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14:paraId="09513F2D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9" w:tooltip="https://mintrud.gov.ru/docs/mintrud/employment/58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Письмо Минтруда России № 18-2/10/В-2575 от 11 апреля 2018 г.</w:t>
        </w:r>
      </w:hyperlink>
    </w:p>
    <w:p w14:paraId="0CF14518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0" w:tooltip="https://mintrud.gov.ru/docs/mintrud/employment/57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Письмо Минтруда России № 18-2/10/В-877 от 9 февраля 2018 г.</w:t>
        </w:r>
      </w:hyperlink>
    </w:p>
    <w:p w14:paraId="1EF44F7C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1" w:tooltip="https://mintrud.gov.ru/ministry/programms/anticorruption/9/13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Обзор практики правоприменения в сфере конфликта интересов</w:t>
        </w:r>
      </w:hyperlink>
    </w:p>
    <w:p w14:paraId="1D9A1081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2" w:tooltip="https://mintrud.gov.ru/ministry/programms/anticorruption/9/5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14:paraId="3A77F124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3" w:tooltip="https://mintrud.gov.ru/ministry/programms/anticorruption/9/4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14:paraId="266AC879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4" w:tooltip="https://mintrud.gov.ru/ministry/programms/anticorruption/9/7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Критерии привлечения к ответственности за коррупционные правонарушения</w:t>
        </w:r>
      </w:hyperlink>
    </w:p>
    <w:p w14:paraId="69998DFD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5" w:tooltip="https://mintrud.gov.ru/ministry/programms/anticorruption/9/8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Оценка коррупционных рисков, возникающих при реализации функций</w:t>
        </w:r>
      </w:hyperlink>
    </w:p>
    <w:p w14:paraId="42E9206A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6" w:tooltip="https://mintrud.gov.ru/ministry/programms/anticorruption/9/1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14:paraId="048D65DE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7" w:tooltip="https://mintrud.gov.ru/ministry/programms/anticorruption/9/3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Типовой кодекс этики и служебного поведения государственных и муниципальных служащих</w:t>
        </w:r>
      </w:hyperlink>
    </w:p>
    <w:p w14:paraId="3F89A394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8" w:tooltip="https://mintrud.gov.ru/ministry/programms/anticorruption/9/0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Подразделы официальных сайтов, посвященные вопросам противодействия коррупции</w:t>
        </w:r>
      </w:hyperlink>
    </w:p>
    <w:p w14:paraId="1E554BDF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19" w:tooltip="https://mintrud.gov.ru/ministry/programms/anticorruption/9/6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14:paraId="494C5B17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0" w:tooltip="https://mintrud.gov.ru/ministry/programms/anticorruption/9/10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14:paraId="114F5A39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1" w:tooltip="https://mintrud.gov.ru/ministry/programms/anticorruption/9/11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14:paraId="2C450085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2" w:tooltip="https://mintrud.gov.ru/ministry/programms/anticorruption/9/12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Анализ сведений о доходах, расходах, об имуществе и обязательствах имущественного характера</w:t>
        </w:r>
      </w:hyperlink>
    </w:p>
    <w:p w14:paraId="6E31B08D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3" w:tooltip="https://mintrud.gov.ru/ministry/programms/anticorruption/9/141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 xml:space="preserve"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</w:t>
        </w:r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lastRenderedPageBreak/>
  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14:paraId="034F00F2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4" w:tooltip="https://mintrud.gov.ru/ministry/programms/anticorruption/9/15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14:paraId="08E3F0CD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5" w:tooltip="https://mintrud.gov.ru/ministry/programms/anticorruption/9/16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14:paraId="2B999462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6" w:tooltip="https://mintrud.gov.ru/ministry/programms/anticorruption/9/17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14:paraId="3DDE4F01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7" w:tooltip="https://mintrud.gov.ru/ministry/programms/anticorruption/9/18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14:paraId="1489BB09" w14:textId="77777777" w:rsidR="00753D4D" w:rsidRDefault="00000000">
      <w:pPr>
        <w:pStyle w:val="af8"/>
        <w:numPr>
          <w:ilvl w:val="0"/>
          <w:numId w:val="1"/>
        </w:numPr>
        <w:spacing w:after="150"/>
        <w:jc w:val="both"/>
      </w:pPr>
      <w:hyperlink r:id="rId28" w:tooltip="https://mintrud.gov.ru/ministry/programms/anticorruption/9/19" w:history="1">
        <w:r>
          <w:rPr>
            <w:rStyle w:val="af"/>
            <w:rFonts w:ascii="Segoe UI" w:eastAsia="Segoe UI" w:hAnsi="Segoe UI" w:cs="Segoe UI"/>
            <w:b/>
            <w:color w:val="337AB7"/>
            <w:sz w:val="24"/>
          </w:rPr>
          <w:t>Методические рекомендации по выявлению личной заинтересованности в закупках</w:t>
        </w:r>
      </w:hyperlink>
    </w:p>
    <w:p w14:paraId="02D90604" w14:textId="77777777" w:rsidR="00753D4D" w:rsidRDefault="00753D4D">
      <w:pPr>
        <w:ind w:left="-850"/>
      </w:pPr>
    </w:p>
    <w:sectPr w:rsidR="00753D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CAF2" w14:textId="77777777" w:rsidR="00FD3BA9" w:rsidRDefault="00FD3BA9">
      <w:pPr>
        <w:spacing w:after="0" w:line="240" w:lineRule="auto"/>
      </w:pPr>
      <w:r>
        <w:separator/>
      </w:r>
    </w:p>
  </w:endnote>
  <w:endnote w:type="continuationSeparator" w:id="0">
    <w:p w14:paraId="133C615D" w14:textId="77777777" w:rsidR="00FD3BA9" w:rsidRDefault="00FD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8BFE" w14:textId="77777777" w:rsidR="00FD3BA9" w:rsidRDefault="00FD3BA9">
      <w:pPr>
        <w:spacing w:after="0" w:line="240" w:lineRule="auto"/>
      </w:pPr>
      <w:r>
        <w:separator/>
      </w:r>
    </w:p>
  </w:footnote>
  <w:footnote w:type="continuationSeparator" w:id="0">
    <w:p w14:paraId="348DDC54" w14:textId="77777777" w:rsidR="00FD3BA9" w:rsidRDefault="00FD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2813"/>
    <w:multiLevelType w:val="hybridMultilevel"/>
    <w:tmpl w:val="524A4A1E"/>
    <w:lvl w:ilvl="0" w:tplc="DDC8EB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7EAAAD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8F2C04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798AFF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E6886A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95DCB2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B887A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F0E877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F05489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num w:numId="1" w16cid:durableId="89085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D4D"/>
    <w:rsid w:val="00753D4D"/>
    <w:rsid w:val="00C35EBB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11F6"/>
  <w15:docId w15:val="{BCCF777F-B1A9-42B2-B497-844CE7C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14" TargetMode="External"/><Relationship Id="rId13" Type="http://schemas.openxmlformats.org/officeDocument/2006/relationships/hyperlink" Target="https://mintrud.gov.ru/ministry/programms/anticorruption/9/4" TargetMode="External"/><Relationship Id="rId18" Type="http://schemas.openxmlformats.org/officeDocument/2006/relationships/hyperlink" Target="https://mintrud.gov.ru/ministry/programms/anticorruption/9/0" TargetMode="External"/><Relationship Id="rId26" Type="http://schemas.openxmlformats.org/officeDocument/2006/relationships/hyperlink" Target="https://mintrud.gov.ru/ministry/programms/anticorruption/9/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1" TargetMode="External"/><Relationship Id="rId7" Type="http://schemas.openxmlformats.org/officeDocument/2006/relationships/hyperlink" Target="https://mintrud.gov.ru/docs/mintrud/employment/62" TargetMode="External"/><Relationship Id="rId12" Type="http://schemas.openxmlformats.org/officeDocument/2006/relationships/hyperlink" Target="https://mintrud.gov.ru/ministry/programms/anticorruption/9/5" TargetMode="External"/><Relationship Id="rId17" Type="http://schemas.openxmlformats.org/officeDocument/2006/relationships/hyperlink" Target="https://mintrud.gov.ru/ministry/programms/anticorruption/9/3" TargetMode="External"/><Relationship Id="rId25" Type="http://schemas.openxmlformats.org/officeDocument/2006/relationships/hyperlink" Target="https://mintrud.gov.ru/ministry/programms/anticorruption/9/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1" TargetMode="External"/><Relationship Id="rId20" Type="http://schemas.openxmlformats.org/officeDocument/2006/relationships/hyperlink" Target="https://mintrud.gov.ru/ministry/programms/anticorruption/9/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.gov.ru/ministry/programms/anticorruption/9/13" TargetMode="External"/><Relationship Id="rId24" Type="http://schemas.openxmlformats.org/officeDocument/2006/relationships/hyperlink" Target="https://mintrud.gov.ru/ministry/programms/anticorruption/9/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trud.gov.ru/ministry/programms/anticorruption/9/8" TargetMode="External"/><Relationship Id="rId23" Type="http://schemas.openxmlformats.org/officeDocument/2006/relationships/hyperlink" Target="https://mintrud.gov.ru/ministry/programms/anticorruption/9/141" TargetMode="External"/><Relationship Id="rId28" Type="http://schemas.openxmlformats.org/officeDocument/2006/relationships/hyperlink" Target="https://mintrud.gov.ru/ministry/programms/anticorruption/9/19" TargetMode="External"/><Relationship Id="rId10" Type="http://schemas.openxmlformats.org/officeDocument/2006/relationships/hyperlink" Target="https://mintrud.gov.ru/docs/mintrud/employment/57" TargetMode="External"/><Relationship Id="rId19" Type="http://schemas.openxmlformats.org/officeDocument/2006/relationships/hyperlink" Target="https://mintrud.gov.ru/ministry/programms/anticorruption/9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58" TargetMode="External"/><Relationship Id="rId14" Type="http://schemas.openxmlformats.org/officeDocument/2006/relationships/hyperlink" Target="https://mintrud.gov.ru/ministry/programms/anticorruption/9/7" TargetMode="External"/><Relationship Id="rId22" Type="http://schemas.openxmlformats.org/officeDocument/2006/relationships/hyperlink" Target="https://mintrud.gov.ru/ministry/programms/anticorruption/9/12" TargetMode="External"/><Relationship Id="rId27" Type="http://schemas.openxmlformats.org/officeDocument/2006/relationships/hyperlink" Target="https://mintrud.gov.ru/ministry/programms/anticorruption/9/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НатальяОлеговна Мыскова</cp:lastModifiedBy>
  <cp:revision>3</cp:revision>
  <dcterms:created xsi:type="dcterms:W3CDTF">2022-07-13T10:23:00Z</dcterms:created>
  <dcterms:modified xsi:type="dcterms:W3CDTF">2022-07-13T10:23:00Z</dcterms:modified>
</cp:coreProperties>
</file>